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60" w:type="dxa"/>
        <w:tblCellMar>
          <w:left w:w="0" w:type="dxa"/>
          <w:right w:w="0" w:type="dxa"/>
        </w:tblCellMar>
        <w:tblLook w:val="04A0" w:firstRow="1" w:lastRow="0" w:firstColumn="1" w:lastColumn="0" w:noHBand="0" w:noVBand="1"/>
      </w:tblPr>
      <w:tblGrid>
        <w:gridCol w:w="960"/>
        <w:gridCol w:w="3805"/>
        <w:gridCol w:w="990"/>
        <w:gridCol w:w="900"/>
        <w:gridCol w:w="7505"/>
      </w:tblGrid>
      <w:tr w:rsidR="007662A1" w14:paraId="2D38C0EC" w14:textId="77777777" w:rsidTr="007662A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C5D9F1"/>
            <w:noWrap/>
            <w:tcMar>
              <w:top w:w="15" w:type="dxa"/>
              <w:left w:w="15" w:type="dxa"/>
              <w:bottom w:w="0" w:type="dxa"/>
              <w:right w:w="15" w:type="dxa"/>
            </w:tcMar>
            <w:vAlign w:val="bottom"/>
            <w:hideMark/>
          </w:tcPr>
          <w:p w14:paraId="54ECBD26" w14:textId="77777777" w:rsidR="007662A1" w:rsidRDefault="007662A1">
            <w:pPr>
              <w:rPr>
                <w:rFonts w:eastAsia="Times New Roman"/>
                <w:color w:val="000000"/>
              </w:rPr>
            </w:pPr>
            <w:r>
              <w:rPr>
                <w:rFonts w:eastAsia="Times New Roman"/>
                <w:color w:val="000000"/>
              </w:rPr>
              <w:t> </w:t>
            </w:r>
          </w:p>
        </w:tc>
        <w:tc>
          <w:tcPr>
            <w:tcW w:w="3805" w:type="dxa"/>
            <w:tcBorders>
              <w:top w:val="single" w:sz="4" w:space="0" w:color="auto"/>
              <w:left w:val="nil"/>
              <w:bottom w:val="single" w:sz="4" w:space="0" w:color="auto"/>
              <w:right w:val="nil"/>
            </w:tcBorders>
            <w:shd w:val="clear" w:color="auto" w:fill="C5D9F1"/>
            <w:tcMar>
              <w:top w:w="15" w:type="dxa"/>
              <w:left w:w="15" w:type="dxa"/>
              <w:bottom w:w="0" w:type="dxa"/>
              <w:right w:w="15" w:type="dxa"/>
            </w:tcMar>
            <w:vAlign w:val="center"/>
            <w:hideMark/>
          </w:tcPr>
          <w:p w14:paraId="192136F8" w14:textId="77777777" w:rsidR="007662A1" w:rsidRDefault="007662A1">
            <w:pPr>
              <w:rPr>
                <w:rFonts w:eastAsia="Times New Roman"/>
                <w:color w:val="000000"/>
              </w:rPr>
            </w:pPr>
            <w:proofErr w:type="gramStart"/>
            <w:r>
              <w:rPr>
                <w:rFonts w:eastAsia="Times New Roman"/>
                <w:b/>
                <w:bCs/>
                <w:color w:val="000000"/>
              </w:rPr>
              <w:t>BUDGET :</w:t>
            </w:r>
            <w:proofErr w:type="gramEnd"/>
            <w:r>
              <w:rPr>
                <w:rFonts w:eastAsia="Times New Roman"/>
                <w:b/>
                <w:bCs/>
                <w:color w:val="000000"/>
              </w:rPr>
              <w:t xml:space="preserve"> Partner's expenses</w:t>
            </w:r>
          </w:p>
        </w:tc>
        <w:tc>
          <w:tcPr>
            <w:tcW w:w="990" w:type="dxa"/>
            <w:tcBorders>
              <w:top w:val="single" w:sz="4" w:space="0" w:color="auto"/>
              <w:left w:val="nil"/>
              <w:bottom w:val="single" w:sz="4" w:space="0" w:color="auto"/>
              <w:right w:val="nil"/>
            </w:tcBorders>
            <w:shd w:val="clear" w:color="auto" w:fill="C5D9F1"/>
            <w:tcMar>
              <w:top w:w="15" w:type="dxa"/>
              <w:left w:w="15" w:type="dxa"/>
              <w:bottom w:w="0" w:type="dxa"/>
              <w:right w:w="15" w:type="dxa"/>
            </w:tcMar>
            <w:vAlign w:val="center"/>
            <w:hideMark/>
          </w:tcPr>
          <w:p w14:paraId="2A468B9B" w14:textId="77777777" w:rsidR="007662A1" w:rsidRDefault="007662A1">
            <w:pPr>
              <w:rPr>
                <w:rFonts w:eastAsia="Times New Roman"/>
                <w:color w:val="000000"/>
              </w:rPr>
            </w:pPr>
            <w:r>
              <w:rPr>
                <w:rFonts w:eastAsia="Times New Roman"/>
                <w:b/>
                <w:bCs/>
                <w:color w:val="000000"/>
              </w:rPr>
              <w:t> </w:t>
            </w:r>
          </w:p>
        </w:tc>
        <w:tc>
          <w:tcPr>
            <w:tcW w:w="900" w:type="dxa"/>
            <w:tcBorders>
              <w:top w:val="single" w:sz="4" w:space="0" w:color="auto"/>
              <w:left w:val="nil"/>
              <w:bottom w:val="single" w:sz="4" w:space="0" w:color="auto"/>
              <w:right w:val="nil"/>
            </w:tcBorders>
            <w:shd w:val="clear" w:color="auto" w:fill="C5D9F1"/>
            <w:tcMar>
              <w:top w:w="15" w:type="dxa"/>
              <w:left w:w="15" w:type="dxa"/>
              <w:bottom w:w="0" w:type="dxa"/>
              <w:right w:w="15" w:type="dxa"/>
            </w:tcMar>
            <w:vAlign w:val="center"/>
            <w:hideMark/>
          </w:tcPr>
          <w:p w14:paraId="6F668608" w14:textId="77777777" w:rsidR="007662A1" w:rsidRDefault="007662A1">
            <w:pPr>
              <w:rPr>
                <w:rFonts w:eastAsia="Times New Roman"/>
                <w:color w:val="000000"/>
              </w:rPr>
            </w:pPr>
            <w:r>
              <w:rPr>
                <w:rFonts w:eastAsia="Times New Roman"/>
                <w:b/>
                <w:bCs/>
                <w:color w:val="000000"/>
              </w:rPr>
              <w:t> </w:t>
            </w:r>
          </w:p>
        </w:tc>
        <w:tc>
          <w:tcPr>
            <w:tcW w:w="7505" w:type="dxa"/>
            <w:tcBorders>
              <w:top w:val="single" w:sz="4" w:space="0" w:color="auto"/>
              <w:left w:val="nil"/>
              <w:bottom w:val="single" w:sz="4" w:space="0" w:color="auto"/>
              <w:right w:val="single" w:sz="4" w:space="0" w:color="auto"/>
            </w:tcBorders>
            <w:shd w:val="clear" w:color="auto" w:fill="C5D9F1"/>
            <w:tcMar>
              <w:top w:w="15" w:type="dxa"/>
              <w:left w:w="15" w:type="dxa"/>
              <w:bottom w:w="0" w:type="dxa"/>
              <w:right w:w="15" w:type="dxa"/>
            </w:tcMar>
            <w:vAlign w:val="center"/>
            <w:hideMark/>
          </w:tcPr>
          <w:p w14:paraId="4B30E11C" w14:textId="77777777" w:rsidR="007662A1" w:rsidRDefault="007662A1">
            <w:pPr>
              <w:rPr>
                <w:rFonts w:eastAsia="Times New Roman"/>
                <w:color w:val="000000"/>
              </w:rPr>
            </w:pPr>
            <w:r>
              <w:rPr>
                <w:rFonts w:eastAsia="Times New Roman"/>
                <w:b/>
                <w:bCs/>
                <w:color w:val="000000"/>
              </w:rPr>
              <w:t> </w:t>
            </w:r>
          </w:p>
        </w:tc>
      </w:tr>
      <w:tr w:rsidR="007662A1" w14:paraId="22CB700F" w14:textId="77777777" w:rsidTr="007662A1">
        <w:trPr>
          <w:trHeight w:val="270"/>
        </w:trPr>
        <w:tc>
          <w:tcPr>
            <w:tcW w:w="9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54DD7BA" w14:textId="77777777" w:rsidR="007662A1" w:rsidRDefault="007662A1">
            <w:pPr>
              <w:rPr>
                <w:rFonts w:eastAsia="Times New Roman"/>
                <w:color w:val="000000"/>
              </w:rPr>
            </w:pPr>
            <w:r>
              <w:rPr>
                <w:rFonts w:eastAsia="Times New Roman"/>
                <w:color w:val="000000"/>
              </w:rPr>
              <w:t> </w:t>
            </w:r>
          </w:p>
        </w:tc>
        <w:tc>
          <w:tcPr>
            <w:tcW w:w="3805" w:type="dxa"/>
            <w:tcBorders>
              <w:top w:val="nil"/>
              <w:left w:val="nil"/>
              <w:bottom w:val="single" w:sz="4" w:space="0" w:color="auto"/>
              <w:right w:val="nil"/>
            </w:tcBorders>
            <w:tcMar>
              <w:top w:w="15" w:type="dxa"/>
              <w:left w:w="15" w:type="dxa"/>
              <w:bottom w:w="0" w:type="dxa"/>
              <w:right w:w="15" w:type="dxa"/>
            </w:tcMar>
            <w:vAlign w:val="center"/>
            <w:hideMark/>
          </w:tcPr>
          <w:p w14:paraId="4659EB0A" w14:textId="77777777" w:rsidR="007662A1" w:rsidRDefault="007662A1">
            <w:pPr>
              <w:rPr>
                <w:rFonts w:eastAsia="Times New Roman"/>
                <w:color w:val="000000"/>
              </w:rPr>
            </w:pPr>
            <w:r>
              <w:rPr>
                <w:rFonts w:eastAsia="Times New Roman"/>
                <w:b/>
                <w:bCs/>
                <w:color w:val="000000"/>
              </w:rPr>
              <w:t> </w:t>
            </w:r>
          </w:p>
        </w:tc>
        <w:tc>
          <w:tcPr>
            <w:tcW w:w="990" w:type="dxa"/>
            <w:tcBorders>
              <w:top w:val="nil"/>
              <w:left w:val="nil"/>
              <w:bottom w:val="single" w:sz="4" w:space="0" w:color="auto"/>
              <w:right w:val="nil"/>
            </w:tcBorders>
            <w:tcMar>
              <w:top w:w="15" w:type="dxa"/>
              <w:left w:w="15" w:type="dxa"/>
              <w:bottom w:w="0" w:type="dxa"/>
              <w:right w:w="15" w:type="dxa"/>
            </w:tcMar>
            <w:vAlign w:val="center"/>
            <w:hideMark/>
          </w:tcPr>
          <w:p w14:paraId="029AAAD7" w14:textId="77777777" w:rsidR="007662A1" w:rsidRDefault="007662A1">
            <w:pPr>
              <w:rPr>
                <w:rFonts w:eastAsia="Times New Roman"/>
                <w:color w:val="000000"/>
              </w:rPr>
            </w:pPr>
            <w:r>
              <w:rPr>
                <w:rFonts w:eastAsia="Times New Roman"/>
                <w:b/>
                <w:bCs/>
                <w:color w:val="000000"/>
              </w:rPr>
              <w:t> </w:t>
            </w:r>
          </w:p>
        </w:tc>
        <w:tc>
          <w:tcPr>
            <w:tcW w:w="900" w:type="dxa"/>
            <w:tcBorders>
              <w:top w:val="nil"/>
              <w:left w:val="nil"/>
              <w:bottom w:val="single" w:sz="4" w:space="0" w:color="auto"/>
              <w:right w:val="nil"/>
            </w:tcBorders>
            <w:tcMar>
              <w:top w:w="15" w:type="dxa"/>
              <w:left w:w="15" w:type="dxa"/>
              <w:bottom w:w="0" w:type="dxa"/>
              <w:right w:w="15" w:type="dxa"/>
            </w:tcMar>
            <w:vAlign w:val="center"/>
            <w:hideMark/>
          </w:tcPr>
          <w:p w14:paraId="0298A32C" w14:textId="77777777" w:rsidR="007662A1" w:rsidRDefault="007662A1">
            <w:pPr>
              <w:rPr>
                <w:rFonts w:eastAsia="Times New Roman"/>
                <w:color w:val="000000"/>
              </w:rPr>
            </w:pPr>
            <w:r>
              <w:rPr>
                <w:rFonts w:eastAsia="Times New Roman"/>
                <w:b/>
                <w:bCs/>
                <w:color w:val="000000"/>
              </w:rPr>
              <w:t> </w:t>
            </w:r>
          </w:p>
        </w:tc>
        <w:tc>
          <w:tcPr>
            <w:tcW w:w="75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4B870C8" w14:textId="77777777" w:rsidR="007662A1" w:rsidRDefault="007662A1">
            <w:pPr>
              <w:rPr>
                <w:rFonts w:eastAsia="Times New Roman"/>
                <w:color w:val="000000"/>
              </w:rPr>
            </w:pPr>
            <w:r>
              <w:rPr>
                <w:rFonts w:eastAsia="Times New Roman"/>
                <w:b/>
                <w:bCs/>
                <w:color w:val="000000"/>
              </w:rPr>
              <w:t> </w:t>
            </w:r>
          </w:p>
        </w:tc>
      </w:tr>
      <w:tr w:rsidR="007662A1" w14:paraId="03CC284E" w14:textId="77777777" w:rsidTr="007662A1">
        <w:trPr>
          <w:trHeight w:val="780"/>
        </w:trPr>
        <w:tc>
          <w:tcPr>
            <w:tcW w:w="960" w:type="dxa"/>
            <w:tcBorders>
              <w:top w:val="nil"/>
              <w:left w:val="single" w:sz="4" w:space="0" w:color="auto"/>
              <w:bottom w:val="single" w:sz="4" w:space="0" w:color="auto"/>
              <w:right w:val="single" w:sz="4" w:space="0" w:color="auto"/>
            </w:tcBorders>
            <w:shd w:val="clear" w:color="auto" w:fill="C0E6F5"/>
            <w:tcMar>
              <w:top w:w="15" w:type="dxa"/>
              <w:left w:w="15" w:type="dxa"/>
              <w:bottom w:w="0" w:type="dxa"/>
              <w:right w:w="15" w:type="dxa"/>
            </w:tcMar>
            <w:vAlign w:val="center"/>
            <w:hideMark/>
          </w:tcPr>
          <w:p w14:paraId="7196C59D" w14:textId="77777777" w:rsidR="007662A1" w:rsidRDefault="007662A1">
            <w:pPr>
              <w:jc w:val="center"/>
              <w:rPr>
                <w:rFonts w:eastAsia="Times New Roman"/>
                <w:color w:val="000000"/>
              </w:rPr>
            </w:pPr>
            <w:r>
              <w:rPr>
                <w:rFonts w:eastAsia="Times New Roman"/>
                <w:b/>
                <w:bCs/>
                <w:color w:val="000000"/>
              </w:rPr>
              <w:t>A</w:t>
            </w:r>
          </w:p>
        </w:tc>
        <w:tc>
          <w:tcPr>
            <w:tcW w:w="3805" w:type="dxa"/>
            <w:tcBorders>
              <w:top w:val="nil"/>
              <w:left w:val="nil"/>
              <w:bottom w:val="single" w:sz="4" w:space="0" w:color="auto"/>
              <w:right w:val="single" w:sz="4" w:space="0" w:color="auto"/>
            </w:tcBorders>
            <w:shd w:val="clear" w:color="auto" w:fill="C0E6F5"/>
            <w:tcMar>
              <w:top w:w="15" w:type="dxa"/>
              <w:left w:w="15" w:type="dxa"/>
              <w:bottom w:w="0" w:type="dxa"/>
              <w:right w:w="15" w:type="dxa"/>
            </w:tcMar>
            <w:vAlign w:val="center"/>
            <w:hideMark/>
          </w:tcPr>
          <w:p w14:paraId="402813E4" w14:textId="77777777" w:rsidR="007662A1" w:rsidRDefault="007662A1">
            <w:pPr>
              <w:jc w:val="both"/>
              <w:rPr>
                <w:rFonts w:eastAsia="Times New Roman"/>
                <w:color w:val="000000"/>
              </w:rPr>
            </w:pPr>
            <w:r>
              <w:rPr>
                <w:rFonts w:eastAsia="Times New Roman"/>
                <w:b/>
                <w:bCs/>
                <w:color w:val="000000"/>
              </w:rPr>
              <w:t>Staff and other personnel costs (Salaries)</w:t>
            </w:r>
            <w:r>
              <w:rPr>
                <w:rFonts w:eastAsia="Times New Roman"/>
                <w:color w:val="000000"/>
              </w:rPr>
              <w:t> </w:t>
            </w:r>
          </w:p>
        </w:tc>
        <w:tc>
          <w:tcPr>
            <w:tcW w:w="990" w:type="dxa"/>
            <w:tcBorders>
              <w:top w:val="nil"/>
              <w:left w:val="nil"/>
              <w:bottom w:val="single" w:sz="4" w:space="0" w:color="auto"/>
              <w:right w:val="single" w:sz="4" w:space="0" w:color="auto"/>
            </w:tcBorders>
            <w:shd w:val="clear" w:color="auto" w:fill="C0E6F5"/>
            <w:tcMar>
              <w:top w:w="15" w:type="dxa"/>
              <w:left w:w="15" w:type="dxa"/>
              <w:bottom w:w="0" w:type="dxa"/>
              <w:right w:w="15" w:type="dxa"/>
            </w:tcMar>
            <w:vAlign w:val="center"/>
            <w:hideMark/>
          </w:tcPr>
          <w:p w14:paraId="5C8FF568" w14:textId="77777777" w:rsidR="007662A1" w:rsidRDefault="007662A1">
            <w:pPr>
              <w:jc w:val="center"/>
              <w:rPr>
                <w:rFonts w:eastAsia="Times New Roman"/>
                <w:color w:val="000000"/>
              </w:rPr>
            </w:pPr>
            <w:r>
              <w:rPr>
                <w:rFonts w:eastAsia="Times New Roman"/>
                <w:b/>
                <w:bCs/>
                <w:color w:val="000000"/>
              </w:rPr>
              <w:t>USD</w:t>
            </w:r>
          </w:p>
        </w:tc>
        <w:tc>
          <w:tcPr>
            <w:tcW w:w="900" w:type="dxa"/>
            <w:tcBorders>
              <w:top w:val="nil"/>
              <w:left w:val="nil"/>
              <w:bottom w:val="single" w:sz="4" w:space="0" w:color="auto"/>
              <w:right w:val="single" w:sz="4" w:space="0" w:color="auto"/>
            </w:tcBorders>
            <w:shd w:val="clear" w:color="auto" w:fill="C0E6F5"/>
            <w:tcMar>
              <w:top w:w="15" w:type="dxa"/>
              <w:left w:w="15" w:type="dxa"/>
              <w:bottom w:w="0" w:type="dxa"/>
              <w:right w:w="15" w:type="dxa"/>
            </w:tcMar>
            <w:vAlign w:val="center"/>
            <w:hideMark/>
          </w:tcPr>
          <w:p w14:paraId="19C67FFC" w14:textId="77777777" w:rsidR="007662A1" w:rsidRDefault="007662A1">
            <w:pPr>
              <w:jc w:val="center"/>
              <w:rPr>
                <w:rFonts w:eastAsia="Times New Roman"/>
                <w:color w:val="000000"/>
              </w:rPr>
            </w:pPr>
            <w:r>
              <w:rPr>
                <w:rFonts w:eastAsia="Times New Roman"/>
                <w:b/>
                <w:bCs/>
                <w:color w:val="000000"/>
              </w:rPr>
              <w:t> </w:t>
            </w:r>
          </w:p>
        </w:tc>
        <w:tc>
          <w:tcPr>
            <w:tcW w:w="75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F289AEB" w14:textId="77777777" w:rsidR="007662A1" w:rsidRDefault="007662A1">
            <w:pPr>
              <w:rPr>
                <w:rFonts w:eastAsia="Times New Roman"/>
                <w:color w:val="000000"/>
              </w:rPr>
            </w:pPr>
            <w:r>
              <w:rPr>
                <w:rFonts w:eastAsia="Times New Roman"/>
                <w:i/>
                <w:iCs/>
                <w:color w:val="000000"/>
              </w:rPr>
              <w:t>This budget class includes all expenses related to employing office and support staff (temporary and contractual project-specific staff), salaries and wages, Social Security &amp; Pension Contributions, accident insurance and the like. </w:t>
            </w:r>
          </w:p>
        </w:tc>
      </w:tr>
      <w:tr w:rsidR="007662A1" w14:paraId="0E554ACB" w14:textId="77777777" w:rsidTr="007662A1">
        <w:trPr>
          <w:trHeight w:val="225"/>
        </w:trPr>
        <w:tc>
          <w:tcPr>
            <w:tcW w:w="9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A32E06C" w14:textId="77777777" w:rsidR="007662A1" w:rsidRDefault="007662A1">
            <w:pPr>
              <w:jc w:val="center"/>
              <w:rPr>
                <w:rFonts w:eastAsia="Times New Roman"/>
                <w:color w:val="000000"/>
              </w:rPr>
            </w:pPr>
            <w:r>
              <w:rPr>
                <w:rFonts w:eastAsia="Times New Roman"/>
                <w:color w:val="000000"/>
              </w:rPr>
              <w:t> </w:t>
            </w:r>
          </w:p>
        </w:tc>
        <w:tc>
          <w:tcPr>
            <w:tcW w:w="38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CD86FE5" w14:textId="77777777" w:rsidR="007662A1" w:rsidRDefault="007662A1">
            <w:pPr>
              <w:rPr>
                <w:rFonts w:eastAsia="Times New Roman"/>
                <w:color w:val="000000"/>
              </w:rPr>
            </w:pPr>
            <w:r>
              <w:rPr>
                <w:rFonts w:eastAsia="Times New Roman"/>
                <w:color w:val="000000"/>
              </w:rP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64963CE" w14:textId="77777777" w:rsidR="007662A1" w:rsidRDefault="007662A1">
            <w:pPr>
              <w:jc w:val="center"/>
              <w:rPr>
                <w:rFonts w:eastAsia="Times New Roman"/>
                <w:color w:val="000000"/>
              </w:rPr>
            </w:pPr>
            <w:r>
              <w:rPr>
                <w:rFonts w:eastAsia="Times New Roman"/>
                <w:color w:val="000000"/>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886B7D8" w14:textId="77777777" w:rsidR="007662A1" w:rsidRDefault="007662A1">
            <w:pPr>
              <w:jc w:val="center"/>
              <w:rPr>
                <w:rFonts w:eastAsia="Times New Roman"/>
                <w:color w:val="000000"/>
              </w:rPr>
            </w:pPr>
            <w:r>
              <w:rPr>
                <w:rFonts w:eastAsia="Times New Roman"/>
                <w:color w:val="000000"/>
              </w:rPr>
              <w:t> </w:t>
            </w:r>
          </w:p>
        </w:tc>
        <w:tc>
          <w:tcPr>
            <w:tcW w:w="7505" w:type="dxa"/>
            <w:tcBorders>
              <w:top w:val="nil"/>
              <w:left w:val="nil"/>
              <w:bottom w:val="single" w:sz="4" w:space="0" w:color="auto"/>
              <w:right w:val="single" w:sz="4" w:space="0" w:color="auto"/>
            </w:tcBorders>
            <w:noWrap/>
            <w:tcMar>
              <w:top w:w="15" w:type="dxa"/>
              <w:left w:w="450" w:type="dxa"/>
              <w:bottom w:w="0" w:type="dxa"/>
              <w:right w:w="15" w:type="dxa"/>
            </w:tcMar>
            <w:vAlign w:val="center"/>
            <w:hideMark/>
          </w:tcPr>
          <w:p w14:paraId="2347A36D" w14:textId="77777777" w:rsidR="007662A1" w:rsidRDefault="007662A1">
            <w:pPr>
              <w:rPr>
                <w:rFonts w:eastAsia="Times New Roman"/>
                <w:color w:val="000000"/>
              </w:rPr>
            </w:pPr>
            <w:r>
              <w:rPr>
                <w:rFonts w:eastAsia="Times New Roman"/>
                <w:color w:val="000000"/>
              </w:rPr>
              <w:t> </w:t>
            </w:r>
          </w:p>
        </w:tc>
      </w:tr>
      <w:tr w:rsidR="007662A1" w14:paraId="04AC1031" w14:textId="77777777" w:rsidTr="007662A1">
        <w:trPr>
          <w:trHeight w:val="1170"/>
        </w:trPr>
        <w:tc>
          <w:tcPr>
            <w:tcW w:w="960" w:type="dxa"/>
            <w:tcBorders>
              <w:top w:val="nil"/>
              <w:left w:val="single" w:sz="4" w:space="0" w:color="auto"/>
              <w:bottom w:val="single" w:sz="4" w:space="0" w:color="auto"/>
              <w:right w:val="single" w:sz="4" w:space="0" w:color="auto"/>
            </w:tcBorders>
            <w:shd w:val="clear" w:color="auto" w:fill="C0E6F5"/>
            <w:tcMar>
              <w:top w:w="15" w:type="dxa"/>
              <w:left w:w="15" w:type="dxa"/>
              <w:bottom w:w="0" w:type="dxa"/>
              <w:right w:w="15" w:type="dxa"/>
            </w:tcMar>
            <w:vAlign w:val="center"/>
            <w:hideMark/>
          </w:tcPr>
          <w:p w14:paraId="7922F814" w14:textId="77777777" w:rsidR="007662A1" w:rsidRDefault="007662A1">
            <w:pPr>
              <w:jc w:val="center"/>
              <w:rPr>
                <w:rFonts w:eastAsia="Times New Roman"/>
                <w:color w:val="000000"/>
              </w:rPr>
            </w:pPr>
            <w:r>
              <w:rPr>
                <w:rFonts w:eastAsia="Times New Roman"/>
                <w:b/>
                <w:bCs/>
                <w:color w:val="000000"/>
              </w:rPr>
              <w:t>B</w:t>
            </w:r>
          </w:p>
        </w:tc>
        <w:tc>
          <w:tcPr>
            <w:tcW w:w="3805" w:type="dxa"/>
            <w:tcBorders>
              <w:top w:val="nil"/>
              <w:left w:val="nil"/>
              <w:bottom w:val="single" w:sz="4" w:space="0" w:color="auto"/>
              <w:right w:val="single" w:sz="4" w:space="0" w:color="auto"/>
            </w:tcBorders>
            <w:shd w:val="clear" w:color="auto" w:fill="C0E6F5"/>
            <w:tcMar>
              <w:top w:w="15" w:type="dxa"/>
              <w:left w:w="15" w:type="dxa"/>
              <w:bottom w:w="0" w:type="dxa"/>
              <w:right w:w="15" w:type="dxa"/>
            </w:tcMar>
            <w:vAlign w:val="center"/>
            <w:hideMark/>
          </w:tcPr>
          <w:p w14:paraId="4D940928" w14:textId="77777777" w:rsidR="007662A1" w:rsidRDefault="007662A1">
            <w:pPr>
              <w:jc w:val="both"/>
              <w:rPr>
                <w:rFonts w:eastAsia="Times New Roman"/>
                <w:color w:val="000000"/>
              </w:rPr>
            </w:pPr>
            <w:r>
              <w:rPr>
                <w:rFonts w:eastAsia="Times New Roman"/>
                <w:b/>
                <w:bCs/>
                <w:color w:val="000000"/>
              </w:rPr>
              <w:t>Small Equipment, fuel and related Operating costs</w:t>
            </w:r>
          </w:p>
        </w:tc>
        <w:tc>
          <w:tcPr>
            <w:tcW w:w="990" w:type="dxa"/>
            <w:tcBorders>
              <w:top w:val="nil"/>
              <w:left w:val="nil"/>
              <w:bottom w:val="single" w:sz="4" w:space="0" w:color="auto"/>
              <w:right w:val="single" w:sz="4" w:space="0" w:color="auto"/>
            </w:tcBorders>
            <w:shd w:val="clear" w:color="auto" w:fill="C0E6F5"/>
            <w:tcMar>
              <w:top w:w="15" w:type="dxa"/>
              <w:left w:w="15" w:type="dxa"/>
              <w:bottom w:w="0" w:type="dxa"/>
              <w:right w:w="15" w:type="dxa"/>
            </w:tcMar>
            <w:vAlign w:val="center"/>
            <w:hideMark/>
          </w:tcPr>
          <w:p w14:paraId="433020F8" w14:textId="77777777" w:rsidR="007662A1" w:rsidRDefault="007662A1">
            <w:pPr>
              <w:jc w:val="center"/>
              <w:rPr>
                <w:rFonts w:eastAsia="Times New Roman"/>
                <w:color w:val="000000"/>
              </w:rPr>
            </w:pPr>
            <w:r>
              <w:rPr>
                <w:rFonts w:eastAsia="Times New Roman"/>
                <w:b/>
                <w:bCs/>
                <w:color w:val="000000"/>
              </w:rPr>
              <w:t>USD</w:t>
            </w:r>
          </w:p>
        </w:tc>
        <w:tc>
          <w:tcPr>
            <w:tcW w:w="900" w:type="dxa"/>
            <w:tcBorders>
              <w:top w:val="nil"/>
              <w:left w:val="nil"/>
              <w:bottom w:val="single" w:sz="4" w:space="0" w:color="auto"/>
              <w:right w:val="single" w:sz="4" w:space="0" w:color="auto"/>
            </w:tcBorders>
            <w:shd w:val="clear" w:color="auto" w:fill="C0E6F5"/>
            <w:tcMar>
              <w:top w:w="15" w:type="dxa"/>
              <w:left w:w="15" w:type="dxa"/>
              <w:bottom w:w="0" w:type="dxa"/>
              <w:right w:w="15" w:type="dxa"/>
            </w:tcMar>
            <w:vAlign w:val="center"/>
            <w:hideMark/>
          </w:tcPr>
          <w:p w14:paraId="286D90FA" w14:textId="77777777" w:rsidR="007662A1" w:rsidRDefault="007662A1">
            <w:pPr>
              <w:jc w:val="center"/>
              <w:rPr>
                <w:rFonts w:eastAsia="Times New Roman"/>
                <w:color w:val="000000"/>
              </w:rPr>
            </w:pPr>
            <w:r>
              <w:rPr>
                <w:rFonts w:eastAsia="Times New Roman"/>
                <w:b/>
                <w:bCs/>
                <w:color w:val="000000"/>
              </w:rPr>
              <w:t> </w:t>
            </w:r>
          </w:p>
        </w:tc>
        <w:tc>
          <w:tcPr>
            <w:tcW w:w="75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E5F9A38" w14:textId="77777777" w:rsidR="007662A1" w:rsidRDefault="007662A1">
            <w:pPr>
              <w:rPr>
                <w:rFonts w:eastAsia="Times New Roman"/>
                <w:color w:val="000000"/>
              </w:rPr>
            </w:pPr>
            <w:r>
              <w:rPr>
                <w:rFonts w:eastAsia="Times New Roman"/>
                <w:i/>
                <w:iCs/>
                <w:color w:val="000000"/>
              </w:rPr>
              <w:t>This class includes expenses related to the purchase, maintenance, and operation of small equipment essential for the IP's activities. Main components include communication costs, stationary, vehicle leasing or rental cost (if vehicles are rented instead of owned), Fuel (gasoline, diesel, etc.) for vehicles and generator and Maintenance &amp; Repair Costs.</w:t>
            </w:r>
          </w:p>
        </w:tc>
      </w:tr>
      <w:tr w:rsidR="007662A1" w14:paraId="38986AE2" w14:textId="77777777" w:rsidTr="007662A1">
        <w:trPr>
          <w:trHeight w:val="225"/>
        </w:trPr>
        <w:tc>
          <w:tcPr>
            <w:tcW w:w="960"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14:paraId="57F5E3F8" w14:textId="77777777" w:rsidR="007662A1" w:rsidRDefault="007662A1">
            <w:pPr>
              <w:jc w:val="center"/>
              <w:rPr>
                <w:rFonts w:eastAsia="Times New Roman"/>
                <w:color w:val="000000"/>
              </w:rPr>
            </w:pPr>
            <w:r>
              <w:rPr>
                <w:rFonts w:eastAsia="Times New Roman"/>
                <w:color w:val="000000"/>
              </w:rPr>
              <w:t> </w:t>
            </w:r>
          </w:p>
        </w:tc>
        <w:tc>
          <w:tcPr>
            <w:tcW w:w="3805" w:type="dxa"/>
            <w:tcBorders>
              <w:top w:val="nil"/>
              <w:left w:val="nil"/>
              <w:bottom w:val="nil"/>
              <w:right w:val="single" w:sz="4" w:space="0" w:color="auto"/>
            </w:tcBorders>
            <w:noWrap/>
            <w:tcMar>
              <w:top w:w="15" w:type="dxa"/>
              <w:left w:w="15" w:type="dxa"/>
              <w:bottom w:w="0" w:type="dxa"/>
              <w:right w:w="15" w:type="dxa"/>
            </w:tcMar>
            <w:vAlign w:val="center"/>
            <w:hideMark/>
          </w:tcPr>
          <w:p w14:paraId="0F377577" w14:textId="77777777" w:rsidR="007662A1" w:rsidRDefault="007662A1">
            <w:pPr>
              <w:jc w:val="both"/>
              <w:rPr>
                <w:rFonts w:eastAsia="Times New Roman"/>
                <w:color w:val="000000"/>
              </w:rPr>
            </w:pPr>
            <w:r>
              <w:rPr>
                <w:rFonts w:eastAsia="Times New Roman"/>
                <w:b/>
                <w:bCs/>
                <w:color w:val="000000"/>
              </w:rPr>
              <w:t> </w:t>
            </w: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DA21DEF" w14:textId="77777777" w:rsidR="007662A1" w:rsidRDefault="007662A1">
            <w:pPr>
              <w:jc w:val="center"/>
              <w:rPr>
                <w:rFonts w:eastAsia="Times New Roman"/>
                <w:color w:val="000000"/>
              </w:rPr>
            </w:pPr>
            <w:r>
              <w:rPr>
                <w:rFonts w:eastAsia="Times New Roman"/>
                <w:b/>
                <w:bCs/>
                <w:color w:val="000000"/>
              </w:rPr>
              <w:t>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F635382" w14:textId="77777777" w:rsidR="007662A1" w:rsidRDefault="007662A1">
            <w:pPr>
              <w:jc w:val="center"/>
              <w:rPr>
                <w:rFonts w:eastAsia="Times New Roman"/>
                <w:color w:val="000000"/>
              </w:rPr>
            </w:pPr>
            <w:r>
              <w:rPr>
                <w:rFonts w:eastAsia="Times New Roman"/>
                <w:b/>
                <w:bCs/>
                <w:color w:val="000000"/>
              </w:rPr>
              <w:t> </w:t>
            </w:r>
          </w:p>
        </w:tc>
        <w:tc>
          <w:tcPr>
            <w:tcW w:w="7505" w:type="dxa"/>
            <w:tcBorders>
              <w:top w:val="nil"/>
              <w:left w:val="nil"/>
              <w:bottom w:val="nil"/>
              <w:right w:val="single" w:sz="4" w:space="0" w:color="auto"/>
            </w:tcBorders>
            <w:noWrap/>
            <w:tcMar>
              <w:top w:w="15" w:type="dxa"/>
              <w:left w:w="15" w:type="dxa"/>
              <w:bottom w:w="0" w:type="dxa"/>
              <w:right w:w="15" w:type="dxa"/>
            </w:tcMar>
            <w:vAlign w:val="bottom"/>
            <w:hideMark/>
          </w:tcPr>
          <w:p w14:paraId="10877B78" w14:textId="77777777" w:rsidR="007662A1" w:rsidRDefault="007662A1">
            <w:pPr>
              <w:rPr>
                <w:rFonts w:eastAsia="Times New Roman"/>
                <w:color w:val="000000"/>
              </w:rPr>
            </w:pPr>
            <w:r>
              <w:rPr>
                <w:rFonts w:eastAsia="Times New Roman"/>
                <w:color w:val="000000"/>
              </w:rPr>
              <w:t> </w:t>
            </w:r>
          </w:p>
        </w:tc>
      </w:tr>
      <w:tr w:rsidR="007662A1" w14:paraId="5B9F9C4E" w14:textId="77777777" w:rsidTr="007662A1">
        <w:trPr>
          <w:trHeight w:val="1170"/>
        </w:trPr>
        <w:tc>
          <w:tcPr>
            <w:tcW w:w="960" w:type="dxa"/>
            <w:tcBorders>
              <w:top w:val="single" w:sz="4" w:space="0" w:color="auto"/>
              <w:left w:val="single" w:sz="4" w:space="0" w:color="auto"/>
              <w:bottom w:val="single" w:sz="4" w:space="0" w:color="auto"/>
              <w:right w:val="single" w:sz="4" w:space="0" w:color="auto"/>
            </w:tcBorders>
            <w:shd w:val="clear" w:color="auto" w:fill="C0E6F5"/>
            <w:tcMar>
              <w:top w:w="15" w:type="dxa"/>
              <w:left w:w="15" w:type="dxa"/>
              <w:bottom w:w="0" w:type="dxa"/>
              <w:right w:w="15" w:type="dxa"/>
            </w:tcMar>
            <w:vAlign w:val="center"/>
            <w:hideMark/>
          </w:tcPr>
          <w:p w14:paraId="4A493419" w14:textId="77777777" w:rsidR="007662A1" w:rsidRDefault="007662A1">
            <w:pPr>
              <w:jc w:val="center"/>
              <w:rPr>
                <w:rFonts w:eastAsia="Times New Roman"/>
                <w:color w:val="000000"/>
              </w:rPr>
            </w:pPr>
            <w:r>
              <w:rPr>
                <w:rFonts w:eastAsia="Times New Roman"/>
                <w:b/>
                <w:bCs/>
                <w:color w:val="000000"/>
              </w:rPr>
              <w:t>D</w:t>
            </w:r>
          </w:p>
        </w:tc>
        <w:tc>
          <w:tcPr>
            <w:tcW w:w="3805" w:type="dxa"/>
            <w:tcBorders>
              <w:top w:val="single" w:sz="4" w:space="0" w:color="auto"/>
              <w:left w:val="nil"/>
              <w:bottom w:val="single" w:sz="4" w:space="0" w:color="auto"/>
              <w:right w:val="single" w:sz="4" w:space="0" w:color="auto"/>
            </w:tcBorders>
            <w:shd w:val="clear" w:color="auto" w:fill="C0E6F5"/>
            <w:tcMar>
              <w:top w:w="15" w:type="dxa"/>
              <w:left w:w="15" w:type="dxa"/>
              <w:bottom w:w="0" w:type="dxa"/>
              <w:right w:w="15" w:type="dxa"/>
            </w:tcMar>
            <w:vAlign w:val="center"/>
            <w:hideMark/>
          </w:tcPr>
          <w:p w14:paraId="75606E4F" w14:textId="77777777" w:rsidR="007662A1" w:rsidRDefault="007662A1">
            <w:pPr>
              <w:jc w:val="both"/>
              <w:rPr>
                <w:rFonts w:eastAsia="Times New Roman"/>
                <w:color w:val="000000"/>
              </w:rPr>
            </w:pPr>
            <w:r>
              <w:rPr>
                <w:rFonts w:eastAsia="Times New Roman"/>
                <w:b/>
                <w:bCs/>
                <w:color w:val="000000"/>
              </w:rPr>
              <w:t>Travel, accommodation and related costs of IP staff/employees - only </w:t>
            </w:r>
          </w:p>
        </w:tc>
        <w:tc>
          <w:tcPr>
            <w:tcW w:w="990" w:type="dxa"/>
            <w:tcBorders>
              <w:top w:val="nil"/>
              <w:left w:val="nil"/>
              <w:bottom w:val="single" w:sz="4" w:space="0" w:color="auto"/>
              <w:right w:val="single" w:sz="4" w:space="0" w:color="auto"/>
            </w:tcBorders>
            <w:shd w:val="clear" w:color="auto" w:fill="C0E6F5"/>
            <w:tcMar>
              <w:top w:w="15" w:type="dxa"/>
              <w:left w:w="15" w:type="dxa"/>
              <w:bottom w:w="0" w:type="dxa"/>
              <w:right w:w="15" w:type="dxa"/>
            </w:tcMar>
            <w:vAlign w:val="center"/>
            <w:hideMark/>
          </w:tcPr>
          <w:p w14:paraId="0F74B4A1" w14:textId="77777777" w:rsidR="007662A1" w:rsidRDefault="007662A1">
            <w:pPr>
              <w:jc w:val="center"/>
              <w:rPr>
                <w:rFonts w:eastAsia="Times New Roman"/>
                <w:color w:val="000000"/>
              </w:rPr>
            </w:pPr>
            <w:r>
              <w:rPr>
                <w:rFonts w:eastAsia="Times New Roman"/>
                <w:b/>
                <w:bCs/>
                <w:color w:val="000000"/>
              </w:rPr>
              <w:t>USD</w:t>
            </w:r>
          </w:p>
        </w:tc>
        <w:tc>
          <w:tcPr>
            <w:tcW w:w="900" w:type="dxa"/>
            <w:tcBorders>
              <w:top w:val="nil"/>
              <w:left w:val="nil"/>
              <w:bottom w:val="single" w:sz="4" w:space="0" w:color="auto"/>
              <w:right w:val="single" w:sz="4" w:space="0" w:color="auto"/>
            </w:tcBorders>
            <w:shd w:val="clear" w:color="auto" w:fill="C0E6F5"/>
            <w:tcMar>
              <w:top w:w="15" w:type="dxa"/>
              <w:left w:w="15" w:type="dxa"/>
              <w:bottom w:w="0" w:type="dxa"/>
              <w:right w:w="15" w:type="dxa"/>
            </w:tcMar>
            <w:vAlign w:val="center"/>
            <w:hideMark/>
          </w:tcPr>
          <w:p w14:paraId="0B423592" w14:textId="77777777" w:rsidR="007662A1" w:rsidRDefault="007662A1">
            <w:pPr>
              <w:jc w:val="center"/>
              <w:rPr>
                <w:rFonts w:eastAsia="Times New Roman"/>
                <w:color w:val="000000"/>
              </w:rPr>
            </w:pPr>
            <w:r>
              <w:rPr>
                <w:rFonts w:eastAsia="Times New Roman"/>
                <w:b/>
                <w:bCs/>
                <w:color w:val="000000"/>
              </w:rPr>
              <w:t> </w:t>
            </w:r>
          </w:p>
        </w:tc>
        <w:tc>
          <w:tcPr>
            <w:tcW w:w="75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60DD48B" w14:textId="77777777" w:rsidR="007662A1" w:rsidRDefault="007662A1">
            <w:pPr>
              <w:rPr>
                <w:rFonts w:eastAsia="Times New Roman"/>
                <w:color w:val="000000"/>
              </w:rPr>
            </w:pPr>
            <w:r>
              <w:rPr>
                <w:rFonts w:eastAsia="Times New Roman"/>
                <w:i/>
                <w:iCs/>
                <w:color w:val="000000"/>
              </w:rPr>
              <w:t>This class includes all expenses related to official travel for project staff, consultants and authorized personnel including daily subsistence allowances. These include airfare (economy class only), taxis/buses or local transport. Note that vehicle rental and fuel cost should NOT be included under this class. Project specific accommodation &amp; Per Diem costs should be considered</w:t>
            </w:r>
          </w:p>
        </w:tc>
      </w:tr>
      <w:tr w:rsidR="007662A1" w14:paraId="342AA53C" w14:textId="77777777" w:rsidTr="007662A1">
        <w:trPr>
          <w:trHeight w:val="225"/>
        </w:trPr>
        <w:tc>
          <w:tcPr>
            <w:tcW w:w="9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53C44F0" w14:textId="77777777" w:rsidR="007662A1" w:rsidRDefault="007662A1">
            <w:pPr>
              <w:jc w:val="center"/>
              <w:rPr>
                <w:rFonts w:eastAsia="Times New Roman"/>
                <w:color w:val="000000"/>
              </w:rPr>
            </w:pPr>
            <w:r>
              <w:rPr>
                <w:rFonts w:eastAsia="Times New Roman"/>
                <w:color w:val="000000"/>
              </w:rPr>
              <w:t> </w:t>
            </w:r>
          </w:p>
        </w:tc>
        <w:tc>
          <w:tcPr>
            <w:tcW w:w="38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42D748B" w14:textId="77777777" w:rsidR="007662A1" w:rsidRDefault="007662A1">
            <w:pPr>
              <w:rPr>
                <w:rFonts w:eastAsia="Times New Roman"/>
                <w:color w:val="000000"/>
              </w:rPr>
            </w:pPr>
            <w:r>
              <w:rPr>
                <w:rFonts w:eastAsia="Times New Roman"/>
                <w:color w:val="000000"/>
              </w:rPr>
              <w:t> </w:t>
            </w:r>
          </w:p>
        </w:tc>
        <w:tc>
          <w:tcPr>
            <w:tcW w:w="99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EDCCBAB" w14:textId="77777777" w:rsidR="007662A1" w:rsidRDefault="007662A1">
            <w:pPr>
              <w:jc w:val="center"/>
              <w:rPr>
                <w:rFonts w:eastAsia="Times New Roman"/>
                <w:color w:val="000000"/>
              </w:rPr>
            </w:pPr>
            <w:r>
              <w:rPr>
                <w:rFonts w:eastAsia="Times New Roman"/>
                <w:b/>
                <w:bCs/>
                <w:color w:val="000000"/>
              </w:rPr>
              <w:t>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77E2A6D" w14:textId="77777777" w:rsidR="007662A1" w:rsidRDefault="007662A1">
            <w:pPr>
              <w:jc w:val="center"/>
              <w:rPr>
                <w:rFonts w:eastAsia="Times New Roman"/>
                <w:color w:val="000000"/>
              </w:rPr>
            </w:pPr>
            <w:r>
              <w:rPr>
                <w:rFonts w:eastAsia="Times New Roman"/>
                <w:b/>
                <w:bCs/>
                <w:color w:val="000000"/>
              </w:rPr>
              <w:t> </w:t>
            </w:r>
          </w:p>
        </w:tc>
        <w:tc>
          <w:tcPr>
            <w:tcW w:w="750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E2E6020" w14:textId="77777777" w:rsidR="007662A1" w:rsidRDefault="007662A1">
            <w:pPr>
              <w:rPr>
                <w:rFonts w:eastAsia="Times New Roman"/>
                <w:color w:val="000000"/>
              </w:rPr>
            </w:pPr>
            <w:r>
              <w:rPr>
                <w:rFonts w:eastAsia="Times New Roman"/>
                <w:color w:val="000000"/>
              </w:rPr>
              <w:t> </w:t>
            </w:r>
          </w:p>
        </w:tc>
      </w:tr>
      <w:tr w:rsidR="007662A1" w14:paraId="559C025B" w14:textId="77777777" w:rsidTr="007662A1">
        <w:trPr>
          <w:trHeight w:val="1320"/>
        </w:trPr>
        <w:tc>
          <w:tcPr>
            <w:tcW w:w="960" w:type="dxa"/>
            <w:tcBorders>
              <w:top w:val="nil"/>
              <w:left w:val="single" w:sz="4" w:space="0" w:color="auto"/>
              <w:bottom w:val="single" w:sz="4" w:space="0" w:color="auto"/>
              <w:right w:val="single" w:sz="4" w:space="0" w:color="auto"/>
            </w:tcBorders>
            <w:shd w:val="clear" w:color="auto" w:fill="C0E6F5"/>
            <w:tcMar>
              <w:top w:w="15" w:type="dxa"/>
              <w:left w:w="15" w:type="dxa"/>
              <w:bottom w:w="0" w:type="dxa"/>
              <w:right w:w="15" w:type="dxa"/>
            </w:tcMar>
            <w:vAlign w:val="center"/>
            <w:hideMark/>
          </w:tcPr>
          <w:p w14:paraId="6311C111" w14:textId="77777777" w:rsidR="007662A1" w:rsidRDefault="007662A1">
            <w:pPr>
              <w:jc w:val="center"/>
              <w:rPr>
                <w:rFonts w:eastAsia="Times New Roman"/>
                <w:color w:val="000000"/>
              </w:rPr>
            </w:pPr>
            <w:r>
              <w:rPr>
                <w:rFonts w:eastAsia="Times New Roman"/>
                <w:b/>
                <w:bCs/>
                <w:color w:val="000000"/>
              </w:rPr>
              <w:t>E</w:t>
            </w:r>
          </w:p>
        </w:tc>
        <w:tc>
          <w:tcPr>
            <w:tcW w:w="3805" w:type="dxa"/>
            <w:tcBorders>
              <w:top w:val="nil"/>
              <w:left w:val="nil"/>
              <w:bottom w:val="single" w:sz="4" w:space="0" w:color="auto"/>
              <w:right w:val="single" w:sz="4" w:space="0" w:color="auto"/>
            </w:tcBorders>
            <w:shd w:val="clear" w:color="auto" w:fill="C0E6F5"/>
            <w:tcMar>
              <w:top w:w="15" w:type="dxa"/>
              <w:left w:w="15" w:type="dxa"/>
              <w:bottom w:w="0" w:type="dxa"/>
              <w:right w:w="15" w:type="dxa"/>
            </w:tcMar>
            <w:vAlign w:val="center"/>
            <w:hideMark/>
          </w:tcPr>
          <w:p w14:paraId="3B2893F3" w14:textId="77777777" w:rsidR="007662A1" w:rsidRDefault="007662A1">
            <w:pPr>
              <w:jc w:val="both"/>
              <w:rPr>
                <w:rFonts w:eastAsia="Times New Roman"/>
                <w:color w:val="000000"/>
              </w:rPr>
            </w:pPr>
            <w:r>
              <w:rPr>
                <w:rFonts w:eastAsia="Times New Roman"/>
                <w:b/>
                <w:bCs/>
                <w:color w:val="000000"/>
              </w:rPr>
              <w:t>Training/ Community engagement</w:t>
            </w:r>
          </w:p>
        </w:tc>
        <w:tc>
          <w:tcPr>
            <w:tcW w:w="990" w:type="dxa"/>
            <w:tcBorders>
              <w:top w:val="nil"/>
              <w:left w:val="nil"/>
              <w:bottom w:val="single" w:sz="4" w:space="0" w:color="auto"/>
              <w:right w:val="single" w:sz="4" w:space="0" w:color="auto"/>
            </w:tcBorders>
            <w:shd w:val="clear" w:color="auto" w:fill="C0E6F5"/>
            <w:tcMar>
              <w:top w:w="15" w:type="dxa"/>
              <w:left w:w="15" w:type="dxa"/>
              <w:bottom w:w="0" w:type="dxa"/>
              <w:right w:w="15" w:type="dxa"/>
            </w:tcMar>
            <w:vAlign w:val="center"/>
            <w:hideMark/>
          </w:tcPr>
          <w:p w14:paraId="1EC0A4E6" w14:textId="77777777" w:rsidR="007662A1" w:rsidRDefault="007662A1">
            <w:pPr>
              <w:jc w:val="center"/>
              <w:rPr>
                <w:rFonts w:eastAsia="Times New Roman"/>
                <w:color w:val="000000"/>
              </w:rPr>
            </w:pPr>
            <w:r>
              <w:rPr>
                <w:rFonts w:eastAsia="Times New Roman"/>
                <w:b/>
                <w:bCs/>
                <w:color w:val="000000"/>
              </w:rPr>
              <w:t>USD</w:t>
            </w:r>
          </w:p>
        </w:tc>
        <w:tc>
          <w:tcPr>
            <w:tcW w:w="900" w:type="dxa"/>
            <w:tcBorders>
              <w:top w:val="nil"/>
              <w:left w:val="nil"/>
              <w:bottom w:val="single" w:sz="4" w:space="0" w:color="auto"/>
              <w:right w:val="single" w:sz="4" w:space="0" w:color="auto"/>
            </w:tcBorders>
            <w:shd w:val="clear" w:color="auto" w:fill="C0E6F5"/>
            <w:tcMar>
              <w:top w:w="15" w:type="dxa"/>
              <w:left w:w="15" w:type="dxa"/>
              <w:bottom w:w="0" w:type="dxa"/>
              <w:right w:w="15" w:type="dxa"/>
            </w:tcMar>
            <w:vAlign w:val="center"/>
            <w:hideMark/>
          </w:tcPr>
          <w:p w14:paraId="5F82DA4D" w14:textId="77777777" w:rsidR="007662A1" w:rsidRDefault="007662A1">
            <w:pPr>
              <w:jc w:val="center"/>
              <w:rPr>
                <w:rFonts w:eastAsia="Times New Roman"/>
                <w:color w:val="000000"/>
              </w:rPr>
            </w:pPr>
            <w:r>
              <w:rPr>
                <w:rFonts w:eastAsia="Times New Roman"/>
                <w:b/>
                <w:bCs/>
                <w:color w:val="000000"/>
              </w:rPr>
              <w:t> </w:t>
            </w:r>
          </w:p>
        </w:tc>
        <w:tc>
          <w:tcPr>
            <w:tcW w:w="750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9FDB881" w14:textId="77777777" w:rsidR="007662A1" w:rsidRDefault="007662A1">
            <w:pPr>
              <w:rPr>
                <w:rFonts w:eastAsia="Times New Roman"/>
                <w:color w:val="000000"/>
              </w:rPr>
            </w:pPr>
            <w:r>
              <w:rPr>
                <w:rFonts w:eastAsia="Times New Roman"/>
                <w:i/>
                <w:iCs/>
                <w:color w:val="000000"/>
              </w:rPr>
              <w:t xml:space="preserve">All expenses related to community outreach, engagement/mobilization and community specific training on </w:t>
            </w:r>
            <w:proofErr w:type="gramStart"/>
            <w:r>
              <w:rPr>
                <w:rFonts w:eastAsia="Times New Roman"/>
                <w:i/>
                <w:iCs/>
                <w:color w:val="000000"/>
              </w:rPr>
              <w:t xml:space="preserve">site </w:t>
            </w:r>
            <w:r>
              <w:rPr>
                <w:rFonts w:eastAsia="Times New Roman"/>
                <w:i/>
                <w:iCs/>
                <w:color w:val="000000"/>
                <w:u w:val="single"/>
              </w:rPr>
              <w:t>only</w:t>
            </w:r>
            <w:proofErr w:type="gramEnd"/>
            <w:r>
              <w:rPr>
                <w:rFonts w:eastAsia="Times New Roman"/>
                <w:i/>
                <w:iCs/>
                <w:color w:val="000000"/>
              </w:rPr>
              <w:t> should be borne by the IP. UN Habitat will cover all costs (venue+ logistics) related to workshops/ seminars for knowledge sharing, stakeholder or government level-engagement in discussion with involved parties.</w:t>
            </w:r>
          </w:p>
        </w:tc>
      </w:tr>
      <w:tr w:rsidR="007662A1" w14:paraId="21FA4B58" w14:textId="77777777" w:rsidTr="007662A1">
        <w:trPr>
          <w:trHeight w:val="210"/>
        </w:trPr>
        <w:tc>
          <w:tcPr>
            <w:tcW w:w="960" w:type="dxa"/>
            <w:noWrap/>
            <w:tcMar>
              <w:top w:w="15" w:type="dxa"/>
              <w:left w:w="15" w:type="dxa"/>
              <w:bottom w:w="0" w:type="dxa"/>
              <w:right w:w="15" w:type="dxa"/>
            </w:tcMar>
            <w:vAlign w:val="bottom"/>
            <w:hideMark/>
          </w:tcPr>
          <w:p w14:paraId="58CC0785" w14:textId="77777777" w:rsidR="007662A1" w:rsidRDefault="007662A1">
            <w:pPr>
              <w:rPr>
                <w:rFonts w:eastAsia="Times New Roman"/>
                <w:color w:val="000000"/>
              </w:rPr>
            </w:pPr>
          </w:p>
        </w:tc>
        <w:tc>
          <w:tcPr>
            <w:tcW w:w="3805" w:type="dxa"/>
            <w:noWrap/>
            <w:tcMar>
              <w:top w:w="15" w:type="dxa"/>
              <w:left w:w="15" w:type="dxa"/>
              <w:bottom w:w="0" w:type="dxa"/>
              <w:right w:w="15" w:type="dxa"/>
            </w:tcMar>
            <w:vAlign w:val="bottom"/>
            <w:hideMark/>
          </w:tcPr>
          <w:p w14:paraId="2649660A" w14:textId="77777777" w:rsidR="007662A1" w:rsidRDefault="007662A1">
            <w:pPr>
              <w:rPr>
                <w:rFonts w:ascii="Times New Roman" w:eastAsia="Times New Roman" w:hAnsi="Times New Roman" w:cs="Times New Roman"/>
                <w:sz w:val="20"/>
                <w:szCs w:val="20"/>
              </w:rPr>
            </w:pPr>
          </w:p>
        </w:tc>
        <w:tc>
          <w:tcPr>
            <w:tcW w:w="990" w:type="dxa"/>
            <w:noWrap/>
            <w:tcMar>
              <w:top w:w="15" w:type="dxa"/>
              <w:left w:w="15" w:type="dxa"/>
              <w:bottom w:w="0" w:type="dxa"/>
              <w:right w:w="15" w:type="dxa"/>
            </w:tcMar>
            <w:vAlign w:val="bottom"/>
            <w:hideMark/>
          </w:tcPr>
          <w:p w14:paraId="68DC569C" w14:textId="77777777" w:rsidR="007662A1" w:rsidRDefault="007662A1">
            <w:pPr>
              <w:rPr>
                <w:rFonts w:ascii="Times New Roman" w:eastAsia="Times New Roman" w:hAnsi="Times New Roman" w:cs="Times New Roman"/>
                <w:sz w:val="20"/>
                <w:szCs w:val="20"/>
              </w:rPr>
            </w:pPr>
          </w:p>
        </w:tc>
        <w:tc>
          <w:tcPr>
            <w:tcW w:w="900" w:type="dxa"/>
            <w:noWrap/>
            <w:tcMar>
              <w:top w:w="15" w:type="dxa"/>
              <w:left w:w="15" w:type="dxa"/>
              <w:bottom w:w="0" w:type="dxa"/>
              <w:right w:w="15" w:type="dxa"/>
            </w:tcMar>
            <w:vAlign w:val="bottom"/>
            <w:hideMark/>
          </w:tcPr>
          <w:p w14:paraId="67F39BBA" w14:textId="77777777" w:rsidR="007662A1" w:rsidRDefault="007662A1">
            <w:pPr>
              <w:rPr>
                <w:rFonts w:ascii="Times New Roman" w:eastAsia="Times New Roman" w:hAnsi="Times New Roman" w:cs="Times New Roman"/>
                <w:sz w:val="20"/>
                <w:szCs w:val="20"/>
              </w:rPr>
            </w:pPr>
          </w:p>
        </w:tc>
        <w:tc>
          <w:tcPr>
            <w:tcW w:w="7505" w:type="dxa"/>
            <w:noWrap/>
            <w:tcMar>
              <w:top w:w="15" w:type="dxa"/>
              <w:left w:w="15" w:type="dxa"/>
              <w:bottom w:w="0" w:type="dxa"/>
              <w:right w:w="15" w:type="dxa"/>
            </w:tcMar>
            <w:vAlign w:val="bottom"/>
            <w:hideMark/>
          </w:tcPr>
          <w:p w14:paraId="07AA0E7B" w14:textId="77777777" w:rsidR="007662A1" w:rsidRDefault="007662A1">
            <w:pPr>
              <w:rPr>
                <w:rFonts w:ascii="Times New Roman" w:eastAsia="Times New Roman" w:hAnsi="Times New Roman" w:cs="Times New Roman"/>
                <w:sz w:val="20"/>
                <w:szCs w:val="20"/>
              </w:rPr>
            </w:pPr>
          </w:p>
        </w:tc>
      </w:tr>
      <w:tr w:rsidR="007662A1" w14:paraId="1CAC05A3" w14:textId="77777777" w:rsidTr="007662A1">
        <w:trPr>
          <w:trHeight w:val="225"/>
        </w:trPr>
        <w:tc>
          <w:tcPr>
            <w:tcW w:w="960" w:type="dxa"/>
            <w:noWrap/>
            <w:tcMar>
              <w:top w:w="15" w:type="dxa"/>
              <w:left w:w="15" w:type="dxa"/>
              <w:bottom w:w="0" w:type="dxa"/>
              <w:right w:w="15" w:type="dxa"/>
            </w:tcMar>
            <w:vAlign w:val="bottom"/>
            <w:hideMark/>
          </w:tcPr>
          <w:p w14:paraId="1A292D76" w14:textId="77777777" w:rsidR="007662A1" w:rsidRDefault="007662A1">
            <w:pPr>
              <w:rPr>
                <w:rFonts w:ascii="Times New Roman" w:eastAsia="Times New Roman" w:hAnsi="Times New Roman" w:cs="Times New Roman"/>
                <w:sz w:val="20"/>
                <w:szCs w:val="20"/>
              </w:rPr>
            </w:pPr>
          </w:p>
        </w:tc>
        <w:tc>
          <w:tcPr>
            <w:tcW w:w="5695" w:type="dxa"/>
            <w:gridSpan w:val="3"/>
            <w:tcBorders>
              <w:top w:val="single" w:sz="4" w:space="0" w:color="auto"/>
              <w:left w:val="single" w:sz="4" w:space="0" w:color="auto"/>
              <w:bottom w:val="single" w:sz="4" w:space="0" w:color="auto"/>
              <w:right w:val="nil"/>
            </w:tcBorders>
            <w:tcMar>
              <w:top w:w="15" w:type="dxa"/>
              <w:left w:w="15" w:type="dxa"/>
              <w:bottom w:w="0" w:type="dxa"/>
              <w:right w:w="15" w:type="dxa"/>
            </w:tcMar>
            <w:vAlign w:val="center"/>
            <w:hideMark/>
          </w:tcPr>
          <w:p w14:paraId="38C1CE13" w14:textId="77777777" w:rsidR="007662A1" w:rsidRDefault="007662A1">
            <w:pPr>
              <w:jc w:val="right"/>
              <w:rPr>
                <w:rFonts w:eastAsia="Times New Roman"/>
                <w:color w:val="000000"/>
              </w:rPr>
            </w:pPr>
            <w:r>
              <w:rPr>
                <w:rFonts w:eastAsia="Times New Roman"/>
                <w:b/>
                <w:bCs/>
                <w:color w:val="000000"/>
              </w:rPr>
              <w:t>Total amount in USD </w:t>
            </w:r>
          </w:p>
        </w:tc>
        <w:tc>
          <w:tcPr>
            <w:tcW w:w="75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E0B904E" w14:textId="77777777" w:rsidR="007662A1" w:rsidRDefault="007662A1">
            <w:pPr>
              <w:rPr>
                <w:rFonts w:eastAsia="Times New Roman"/>
                <w:color w:val="000000"/>
              </w:rPr>
            </w:pPr>
            <w:r>
              <w:rPr>
                <w:rFonts w:eastAsia="Times New Roman"/>
                <w:color w:val="000000"/>
              </w:rPr>
              <w:t> </w:t>
            </w:r>
          </w:p>
        </w:tc>
      </w:tr>
    </w:tbl>
    <w:p w14:paraId="059FF7F2" w14:textId="77777777" w:rsidR="00C41519" w:rsidRDefault="00C41519"/>
    <w:sectPr w:rsidR="00C41519" w:rsidSect="007662A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A1"/>
    <w:rsid w:val="00071B1A"/>
    <w:rsid w:val="006562F6"/>
    <w:rsid w:val="007662A1"/>
    <w:rsid w:val="008C3967"/>
    <w:rsid w:val="00C41519"/>
    <w:rsid w:val="00CB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B174"/>
  <w15:chartTrackingRefBased/>
  <w15:docId w15:val="{260B6942-18E9-4A09-891A-651E46D0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A1"/>
    <w:pPr>
      <w:spacing w:after="0" w:line="240" w:lineRule="auto"/>
    </w:pPr>
    <w:rPr>
      <w:rFonts w:ascii="Aptos" w:eastAsia="Aptos" w:hAnsi="Aptos" w:cs="Aptos"/>
      <w:kern w:val="0"/>
      <w14:ligatures w14:val="none"/>
    </w:rPr>
  </w:style>
  <w:style w:type="paragraph" w:styleId="Heading1">
    <w:name w:val="heading 1"/>
    <w:basedOn w:val="Normal"/>
    <w:next w:val="Normal"/>
    <w:link w:val="Heading1Char"/>
    <w:uiPriority w:val="9"/>
    <w:qFormat/>
    <w:rsid w:val="007662A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662A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662A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662A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662A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662A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662A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662A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662A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2A1"/>
    <w:rPr>
      <w:rFonts w:eastAsiaTheme="majorEastAsia" w:cstheme="majorBidi"/>
      <w:color w:val="272727" w:themeColor="text1" w:themeTint="D8"/>
    </w:rPr>
  </w:style>
  <w:style w:type="paragraph" w:styleId="Title">
    <w:name w:val="Title"/>
    <w:basedOn w:val="Normal"/>
    <w:next w:val="Normal"/>
    <w:link w:val="TitleChar"/>
    <w:uiPriority w:val="10"/>
    <w:qFormat/>
    <w:rsid w:val="007662A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6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2A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66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2A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662A1"/>
    <w:rPr>
      <w:i/>
      <w:iCs/>
      <w:color w:val="404040" w:themeColor="text1" w:themeTint="BF"/>
    </w:rPr>
  </w:style>
  <w:style w:type="paragraph" w:styleId="ListParagraph">
    <w:name w:val="List Paragraph"/>
    <w:basedOn w:val="Normal"/>
    <w:uiPriority w:val="34"/>
    <w:qFormat/>
    <w:rsid w:val="007662A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662A1"/>
    <w:rPr>
      <w:i/>
      <w:iCs/>
      <w:color w:val="0F4761" w:themeColor="accent1" w:themeShade="BF"/>
    </w:rPr>
  </w:style>
  <w:style w:type="paragraph" w:styleId="IntenseQuote">
    <w:name w:val="Intense Quote"/>
    <w:basedOn w:val="Normal"/>
    <w:next w:val="Normal"/>
    <w:link w:val="IntenseQuoteChar"/>
    <w:uiPriority w:val="30"/>
    <w:qFormat/>
    <w:rsid w:val="007662A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662A1"/>
    <w:rPr>
      <w:i/>
      <w:iCs/>
      <w:color w:val="0F4761" w:themeColor="accent1" w:themeShade="BF"/>
    </w:rPr>
  </w:style>
  <w:style w:type="character" w:styleId="IntenseReference">
    <w:name w:val="Intense Reference"/>
    <w:basedOn w:val="DefaultParagraphFont"/>
    <w:uiPriority w:val="32"/>
    <w:qFormat/>
    <w:rsid w:val="007662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3093E-F334-428C-B79A-1061C041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Fitsum Melaku</dc:creator>
  <cp:keywords/>
  <dc:description/>
  <cp:lastModifiedBy>Fitsum Melaku</cp:lastModifiedBy>
  <cp:revision>1</cp:revision>
  <dcterms:created xsi:type="dcterms:W3CDTF">2025-08-19T13:15:00Z</dcterms:created>
  <dcterms:modified xsi:type="dcterms:W3CDTF">2025-08-19T13:18:00Z</dcterms:modified>
</cp:coreProperties>
</file>